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Sony PCS-XG80/9DS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17/12/2022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Sony PCS-XG80/9DS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>
                  <w:p>
                    <w:pPr/>
                    <w:r>
                      <w:rPr>
                        <w:b/>
                      </w:rPr>
                      <w:t>Hệ thống bao gồm: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rPr>
                        <w:b/>
                      </w:rPr>
                      <w:t>XG80 Codec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rPr>
                        <w:b/>
                      </w:rPr>
                      <w:t>Camera PTZ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rPr>
                        <w:b/>
                      </w:rPr>
                      <w:t>2 microphone đa hướng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rPr>
                        <w:b/>
                      </w:rPr>
                      <w:t>Remote control</w:t>
                    </w:r>
                    <w:r/>
                  </w:p>
                  <w:p>
                    <w:pPr>
                      <w:numPr>
                        <w:ilvl w:val="0"/>
                        <w:numId w:val="1"/>
                      </w:numPr>
                    </w:pPr>
                    <w:r>
                      <w:rPr>
                        <w:b/>
                      </w:rPr>
                      <w:t>Cables</w:t>
                    </w:r>
                    <w:r/>
                  </w:p>
                </w:body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